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70"/>
        <w:gridCol w:w="5153"/>
        <w:gridCol w:w="1270"/>
        <w:tblGridChange w:id="0">
          <w:tblGrid>
            <w:gridCol w:w="9170"/>
            <w:gridCol w:w="5153"/>
            <w:gridCol w:w="1270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Результаты теоретического этапа Региональной олимпиады профессионального мастерства «ПрофиСтарт» по специальности 09.02.07 Информационные системы и программирование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ind w:left="1163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ОГБПОУ “Старокулаткинский механико-технологический колледж”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Измайлов Артур Марсович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11,8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Асанова Екатерина Денисовна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11,5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Каленова Евгения Викторовна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9,9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Рахманкулова Элина Олеговна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9,3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Асанов Реналь Рамилевич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9,3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Курамшин Салават Ильгизович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9,2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Мансурова Вилена Фаилевна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9,1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Алюшева Гольназ Рашитовна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7,6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Кузяев Ленар Марсович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7,2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Ляхов Антон Вячеславович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6,7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Бурдым Анастасия Васильевна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6,3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Воздвиженский Кирилл Сергеевич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6,0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Маклакова Елизавета Александровна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5,6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Асанова Кадрия Рамилевна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5,5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Мусеев Рамис Рамилевич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5,1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Салаев Мухаммад Эльдарович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4,5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Артемьев Михаил Валерьевич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3,2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Решетникова Ирина Валерьевна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2,8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Абликеев Артур Марсельевич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0,7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Профи Старт Информационные системы и программирование МТК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Добролюбова Яна Александровна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6"/>
                <w:szCs w:val="26"/>
                <w:rtl w:val="0"/>
              </w:rPr>
              <w:t xml:space="preserve">0,4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3ijvaQfR5crla0MWF/cV4iUjw==">AMUW2mVBUdEhc2v/9xI6O33tijShgdEHR1lVS+WuIzS82cygAJ7U3pEbjzBr2Jd4H5i1RKMUBWyGijhZh19F6OtdZbAMEBS1mgtL2DpGn+RacKAVPmE/Na0=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2022-11-09T12:18:00Z</dcterms:created>
  <dc:creator>User</dc:creator>
</cp:coreProperties>
</file>